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Komiksas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(privaloma)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Legenda arba padavimas,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arba žymios krašto asmenybės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Grafinė dalis. R. Ramanauskas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Reikalavimai: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Nemažiau dešimt piešinių;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Aiškus ryšys tarp piešinių;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Dialogai įrašomi debesėliuose, aiškiai orientuotais  į personažą;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Aiški kompozicija ir piešinėlio siužetas;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Aiškiai perskaitomas šriftas;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Piešinėliai išdėstomi nuosekliai iš kairės į dešinę.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Vertinimas: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Meniškumas;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Tvarkingumas;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Kalbos taisyklingumas ir gramatinis teisingumas;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Komikso literatūrinė dalis ( 18 t.)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Epikos žanro reikalavimų paisymas :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sukurti konkretūs veikėjų paveikslai (3 t. )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nuoseklus siužetas (3 t. )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Idėjos patrauklumas (3 t. )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Dinamiškas pasakojimas (3 t. )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Stiliaus ir raštingumo reikalavimai (3 t.)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Sugalvotas originalus pavadinimas (3 t. )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-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I1p63M7+cjnEkPMtuh+/LG2Kw==">CgMxLjA4AHIhMXR5LXZTMlM0alpXVjc5QWFtSDQ3dzVobkR6ZHpDWDN2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